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5"/>
        <w:gridCol w:w="6099"/>
      </w:tblGrid>
      <w:tr w:rsidR="008F441B" w:rsidRPr="00723356" w:rsidTr="00CE27FF">
        <w:tc>
          <w:tcPr>
            <w:tcW w:w="3468" w:type="dxa"/>
          </w:tcPr>
          <w:p w:rsidR="008F441B" w:rsidRPr="00723356" w:rsidRDefault="008F441B" w:rsidP="00CE27FF">
            <w:pPr>
              <w:spacing w:after="0" w:line="240" w:lineRule="auto"/>
              <w:jc w:val="center"/>
              <w:rPr>
                <w:rFonts w:ascii="Times New Roman" w:eastAsia="Times New Roman" w:hAnsi="Times New Roman"/>
                <w:b/>
                <w:sz w:val="26"/>
                <w:szCs w:val="26"/>
              </w:rPr>
            </w:pPr>
            <w:r w:rsidRPr="00723356">
              <w:rPr>
                <w:rFonts w:ascii="Times New Roman" w:eastAsia="Times New Roman" w:hAnsi="Times New Roman"/>
                <w:b/>
                <w:sz w:val="26"/>
                <w:szCs w:val="26"/>
              </w:rPr>
              <w:t>ỦY BAN NHÂN DÂN</w:t>
            </w:r>
          </w:p>
          <w:p w:rsidR="008F441B" w:rsidRPr="00723356" w:rsidRDefault="008F441B" w:rsidP="00CE27FF">
            <w:pPr>
              <w:spacing w:after="0" w:line="240" w:lineRule="auto"/>
              <w:jc w:val="center"/>
              <w:rPr>
                <w:rFonts w:ascii="Times New Roman" w:eastAsia="Times New Roman" w:hAnsi="Times New Roman"/>
                <w:b/>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687070</wp:posOffset>
                      </wp:positionH>
                      <wp:positionV relativeFrom="paragraph">
                        <wp:posOffset>215265</wp:posOffset>
                      </wp:positionV>
                      <wp:extent cx="711200" cy="635"/>
                      <wp:effectExtent l="0" t="0" r="12700" b="3746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"/>
                  </w:pict>
                </mc:Fallback>
              </mc:AlternateContent>
            </w:r>
            <w:r w:rsidRPr="00723356">
              <w:rPr>
                <w:rFonts w:ascii="Times New Roman" w:eastAsia="Times New Roman" w:hAnsi="Times New Roman"/>
                <w:b/>
                <w:sz w:val="26"/>
                <w:szCs w:val="26"/>
              </w:rPr>
              <w:t>XÃ LIÊN MINH</w:t>
            </w:r>
          </w:p>
        </w:tc>
        <w:tc>
          <w:tcPr>
            <w:tcW w:w="6103" w:type="dxa"/>
          </w:tcPr>
          <w:p w:rsidR="008F441B" w:rsidRPr="00723356" w:rsidRDefault="008F441B" w:rsidP="00CE27FF">
            <w:pPr>
              <w:spacing w:after="0" w:line="240" w:lineRule="auto"/>
              <w:jc w:val="center"/>
              <w:rPr>
                <w:rFonts w:ascii="Times New Roman" w:eastAsia="Times New Roman" w:hAnsi="Times New Roman"/>
                <w:b/>
                <w:sz w:val="26"/>
                <w:szCs w:val="26"/>
              </w:rPr>
            </w:pPr>
            <w:r w:rsidRPr="00723356">
              <w:rPr>
                <w:rFonts w:ascii="Times New Roman" w:eastAsia="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723356">
                  <w:rPr>
                    <w:rFonts w:ascii="Times New Roman" w:eastAsia="Times New Roman" w:hAnsi="Times New Roman"/>
                    <w:b/>
                    <w:sz w:val="26"/>
                    <w:szCs w:val="26"/>
                  </w:rPr>
                  <w:t>NAM</w:t>
                </w:r>
              </w:smartTag>
            </w:smartTag>
          </w:p>
          <w:p w:rsidR="008F441B" w:rsidRPr="00723356" w:rsidRDefault="008F441B" w:rsidP="00CE27FF">
            <w:pPr>
              <w:spacing w:after="0" w:line="240" w:lineRule="auto"/>
              <w:jc w:val="center"/>
              <w:rPr>
                <w:rFonts w:ascii="Times New Roman" w:eastAsia="Times New Roman" w:hAnsi="Times New Roman"/>
                <w:b/>
                <w:sz w:val="28"/>
                <w:szCs w:val="28"/>
              </w:rPr>
            </w:pPr>
            <w:r w:rsidRPr="00723356">
              <w:rPr>
                <w:rFonts w:ascii="Times New Roman" w:eastAsia="Times New Roman" w:hAnsi="Times New Roman"/>
                <w:b/>
                <w:sz w:val="28"/>
                <w:szCs w:val="28"/>
              </w:rPr>
              <w:t>Độc lập – Tự do – Hạnh phúc</w:t>
            </w:r>
          </w:p>
          <w:p w:rsidR="008F441B" w:rsidRPr="00723356" w:rsidRDefault="008F441B" w:rsidP="00CE27FF">
            <w:pPr>
              <w:tabs>
                <w:tab w:val="left" w:pos="2215"/>
                <w:tab w:val="center" w:pos="2849"/>
              </w:tabs>
              <w:spacing w:after="0" w:line="240" w:lineRule="auto"/>
              <w:rPr>
                <w:rFonts w:ascii="Times New Roman" w:eastAsia="Times New Roman" w:hAnsi="Times New Roman"/>
                <w:b/>
                <w:sz w:val="28"/>
                <w:szCs w:val="28"/>
              </w:rPr>
            </w:pPr>
            <w:r w:rsidRPr="00723356">
              <w:rPr>
                <w:rFonts w:ascii="Times New Roman" w:eastAsia="Times New Roman" w:hAnsi="Times New Roman"/>
                <w:b/>
                <w:sz w:val="28"/>
                <w:szCs w:val="28"/>
              </w:rPr>
              <w:tab/>
            </w:r>
            <w:r w:rsidRPr="00723356">
              <w:rPr>
                <w:rFonts w:ascii="Times New Roman" w:eastAsia="Times New Roman" w:hAnsi="Times New Roman"/>
                <w:b/>
                <w:sz w:val="28"/>
                <w:szCs w:val="28"/>
              </w:rPr>
              <w:tab/>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802005</wp:posOffset>
                      </wp:positionH>
                      <wp:positionV relativeFrom="paragraph">
                        <wp:posOffset>13969</wp:posOffset>
                      </wp:positionV>
                      <wp:extent cx="2133600" cy="0"/>
                      <wp:effectExtent l="0" t="0" r="1905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Ex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"/>
                  </w:pict>
                </mc:Fallback>
              </mc:AlternateContent>
            </w:r>
          </w:p>
        </w:tc>
      </w:tr>
    </w:tbl>
    <w:p w:rsidR="008F441B" w:rsidRDefault="008F441B" w:rsidP="008F441B">
      <w:pPr>
        <w:spacing w:after="0" w:line="360" w:lineRule="exact"/>
        <w:jc w:val="center"/>
        <w:rPr>
          <w:rFonts w:ascii="Times New Roman" w:hAnsi="Times New Roman"/>
          <w:b/>
          <w:sz w:val="28"/>
          <w:szCs w:val="28"/>
        </w:rPr>
      </w:pPr>
      <w:r>
        <w:rPr>
          <w:rFonts w:ascii="Times New Roman" w:hAnsi="Times New Roman"/>
          <w:b/>
          <w:sz w:val="28"/>
          <w:szCs w:val="28"/>
        </w:rPr>
        <w:t xml:space="preserve">Tìm hiểu một số quy định của pháp luật xử phạt </w:t>
      </w:r>
      <w:proofErr w:type="gramStart"/>
      <w:r>
        <w:rPr>
          <w:rFonts w:ascii="Times New Roman" w:hAnsi="Times New Roman"/>
          <w:b/>
          <w:sz w:val="28"/>
          <w:szCs w:val="28"/>
        </w:rPr>
        <w:t>vi</w:t>
      </w:r>
      <w:proofErr w:type="gramEnd"/>
      <w:r>
        <w:rPr>
          <w:rFonts w:ascii="Times New Roman" w:hAnsi="Times New Roman"/>
          <w:b/>
          <w:sz w:val="28"/>
          <w:szCs w:val="28"/>
        </w:rPr>
        <w:t xml:space="preserve"> phạm hành chính</w:t>
      </w:r>
    </w:p>
    <w:p w:rsidR="008F441B" w:rsidRDefault="008F441B" w:rsidP="008F441B">
      <w:pPr>
        <w:spacing w:after="0" w:line="360" w:lineRule="exact"/>
        <w:jc w:val="center"/>
        <w:rPr>
          <w:rFonts w:ascii="Times New Roman" w:hAnsi="Times New Roman"/>
          <w:b/>
          <w:sz w:val="28"/>
          <w:szCs w:val="28"/>
        </w:rPr>
      </w:pPr>
      <w:proofErr w:type="gramStart"/>
      <w:r>
        <w:rPr>
          <w:rFonts w:ascii="Times New Roman" w:hAnsi="Times New Roman"/>
          <w:b/>
          <w:sz w:val="28"/>
          <w:szCs w:val="28"/>
        </w:rPr>
        <w:t>về</w:t>
      </w:r>
      <w:proofErr w:type="gramEnd"/>
      <w:r>
        <w:rPr>
          <w:rFonts w:ascii="Times New Roman" w:hAnsi="Times New Roman"/>
          <w:b/>
          <w:sz w:val="28"/>
          <w:szCs w:val="28"/>
        </w:rPr>
        <w:t xml:space="preserve"> an toàn thực phẩm</w:t>
      </w:r>
    </w:p>
    <w:p w:rsidR="008F441B" w:rsidRPr="00723356" w:rsidRDefault="008F441B" w:rsidP="008F441B">
      <w:pPr>
        <w:spacing w:after="0" w:line="360" w:lineRule="exact"/>
        <w:jc w:val="center"/>
        <w:rPr>
          <w:rFonts w:ascii="Times New Roman" w:hAnsi="Times New Roman"/>
          <w:i/>
          <w:sz w:val="24"/>
          <w:szCs w:val="28"/>
        </w:rPr>
      </w:pPr>
      <w:r w:rsidRPr="00723356">
        <w:rPr>
          <w:rFonts w:ascii="Times New Roman" w:hAnsi="Times New Roman"/>
          <w:sz w:val="24"/>
          <w:szCs w:val="28"/>
        </w:rPr>
        <w:t>(</w:t>
      </w:r>
      <w:r w:rsidRPr="00723356">
        <w:rPr>
          <w:rFonts w:ascii="Times New Roman" w:hAnsi="Times New Roman"/>
          <w:i/>
          <w:sz w:val="24"/>
          <w:szCs w:val="28"/>
        </w:rPr>
        <w:t>Nghị định số 115/2018/NĐ-CP ngày 04/9/2018 của Chính phủ</w:t>
      </w:r>
    </w:p>
    <w:p w:rsidR="008F441B" w:rsidRPr="00723356" w:rsidRDefault="008F441B" w:rsidP="008F441B">
      <w:pPr>
        <w:spacing w:after="0" w:line="360" w:lineRule="exact"/>
        <w:jc w:val="center"/>
        <w:rPr>
          <w:rFonts w:ascii="Times New Roman" w:hAnsi="Times New Roman"/>
          <w:sz w:val="24"/>
          <w:szCs w:val="28"/>
        </w:rPr>
      </w:pPr>
      <w:proofErr w:type="gramStart"/>
      <w:r w:rsidRPr="00723356">
        <w:rPr>
          <w:rFonts w:ascii="Times New Roman" w:hAnsi="Times New Roman"/>
          <w:i/>
          <w:sz w:val="24"/>
          <w:szCs w:val="28"/>
        </w:rPr>
        <w:t>có</w:t>
      </w:r>
      <w:proofErr w:type="gramEnd"/>
      <w:r w:rsidRPr="00723356">
        <w:rPr>
          <w:rFonts w:ascii="Times New Roman" w:hAnsi="Times New Roman"/>
          <w:i/>
          <w:sz w:val="24"/>
          <w:szCs w:val="28"/>
        </w:rPr>
        <w:t xml:space="preserve"> hiệu lực thi hành ngày 20/10/2018</w:t>
      </w:r>
      <w:r>
        <w:rPr>
          <w:rFonts w:ascii="Times New Roman" w:hAnsi="Times New Roman"/>
          <w:sz w:val="24"/>
          <w:szCs w:val="28"/>
        </w:rPr>
        <w:t>)</w:t>
      </w:r>
    </w:p>
    <w:p w:rsidR="008F441B" w:rsidRDefault="008F441B" w:rsidP="008F441B">
      <w:pPr>
        <w:spacing w:before="120" w:after="120" w:line="360" w:lineRule="exact"/>
        <w:ind w:firstLine="720"/>
        <w:jc w:val="both"/>
        <w:rPr>
          <w:rFonts w:ascii="Times New Roman" w:hAnsi="Times New Roman"/>
          <w:b/>
          <w:sz w:val="28"/>
          <w:szCs w:val="28"/>
        </w:rPr>
      </w:pPr>
      <w:r>
        <w:rPr>
          <w:rFonts w:ascii="Times New Roman" w:hAnsi="Times New Roman"/>
          <w:b/>
          <w:sz w:val="28"/>
          <w:szCs w:val="28"/>
        </w:rPr>
        <w:t>Câu hỏi</w:t>
      </w:r>
      <w:r>
        <w:rPr>
          <w:rFonts w:ascii="Times New Roman" w:hAnsi="Times New Roman"/>
          <w:b/>
          <w:sz w:val="28"/>
          <w:szCs w:val="28"/>
          <w:lang w:val="vi-VN"/>
        </w:rPr>
        <w:t xml:space="preserve"> 1</w:t>
      </w:r>
      <w:r>
        <w:rPr>
          <w:rFonts w:ascii="Times New Roman" w:hAnsi="Times New Roman"/>
          <w:b/>
          <w:sz w:val="28"/>
          <w:szCs w:val="28"/>
        </w:rPr>
        <w:t xml:space="preserve">: Hành </w:t>
      </w:r>
      <w:proofErr w:type="gramStart"/>
      <w:r>
        <w:rPr>
          <w:rFonts w:ascii="Times New Roman" w:hAnsi="Times New Roman"/>
          <w:b/>
          <w:sz w:val="28"/>
          <w:szCs w:val="28"/>
        </w:rPr>
        <w:t>vi</w:t>
      </w:r>
      <w:proofErr w:type="gramEnd"/>
      <w:r>
        <w:rPr>
          <w:rFonts w:ascii="Times New Roman" w:hAnsi="Times New Roman"/>
          <w:b/>
          <w:sz w:val="28"/>
          <w:szCs w:val="28"/>
        </w:rPr>
        <w:t xml:space="preserve"> vi phạm quy định về sử dụng nguyên liệu để sản xuất, chế biến, cung cấp thực phẩm bị xử phạt như thế nào?</w:t>
      </w:r>
    </w:p>
    <w:p w:rsidR="008F441B" w:rsidRDefault="008F441B" w:rsidP="008F441B">
      <w:pPr>
        <w:spacing w:before="120" w:after="120" w:line="360" w:lineRule="exact"/>
        <w:ind w:firstLine="720"/>
        <w:jc w:val="both"/>
        <w:rPr>
          <w:rFonts w:ascii="Times New Roman" w:hAnsi="Times New Roman"/>
          <w:b/>
          <w:sz w:val="28"/>
          <w:szCs w:val="28"/>
        </w:rPr>
      </w:pPr>
      <w:r>
        <w:rPr>
          <w:rFonts w:ascii="Times New Roman" w:hAnsi="Times New Roman"/>
          <w:b/>
          <w:sz w:val="28"/>
          <w:szCs w:val="28"/>
        </w:rPr>
        <w:t>Trả lời:</w:t>
      </w:r>
    </w:p>
    <w:p w:rsidR="008F441B" w:rsidRDefault="008F441B" w:rsidP="008F441B">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Theo Điều 4 Nghị định số 115/2018/NĐ-CP thì hành </w:t>
      </w:r>
      <w:proofErr w:type="gramStart"/>
      <w:r>
        <w:rPr>
          <w:rFonts w:ascii="Times New Roman" w:hAnsi="Times New Roman"/>
          <w:sz w:val="28"/>
          <w:szCs w:val="28"/>
        </w:rPr>
        <w:t>vi</w:t>
      </w:r>
      <w:proofErr w:type="gramEnd"/>
      <w:r>
        <w:rPr>
          <w:rFonts w:ascii="Times New Roman" w:hAnsi="Times New Roman"/>
          <w:sz w:val="28"/>
          <w:szCs w:val="28"/>
        </w:rPr>
        <w:t xml:space="preserve"> vi phạm quy định để sản xuất, chế biến, cung cấp thực phẩm bị xử phạt như sau:</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1. Phạt tiền từ 01 lần đến 02 lần giá trị sản phẩm </w:t>
      </w:r>
      <w:proofErr w:type="gramStart"/>
      <w:r>
        <w:rPr>
          <w:sz w:val="28"/>
          <w:szCs w:val="28"/>
        </w:rPr>
        <w:t>vi</w:t>
      </w:r>
      <w:proofErr w:type="gramEnd"/>
      <w:r>
        <w:rPr>
          <w:sz w:val="28"/>
          <w:szCs w:val="28"/>
        </w:rPr>
        <w:t xml:space="preserve"> phạm đối với một trong các hành vi sau đây:</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 Sử dụng nguyên liệu đã quá thời hạn sử dụng hoặc không có thời hạn sử </w:t>
      </w:r>
      <w:proofErr w:type="gramStart"/>
      <w:r>
        <w:rPr>
          <w:sz w:val="28"/>
          <w:szCs w:val="28"/>
        </w:rPr>
        <w:t>dụng</w:t>
      </w:r>
      <w:proofErr w:type="gramEnd"/>
      <w:r>
        <w:rPr>
          <w:sz w:val="28"/>
          <w:szCs w:val="28"/>
        </w:rPr>
        <w:t xml:space="preserve"> đối với nguyên liệu thuộc diện bắt buộc phải ghi thời hạn sử dụng;</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Sử dụng nguyên liệu không rõ nguồn gốc, xuất xứ;</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 Sử dụng sản phẩm từ động vật, thực vật để sản xuất, chế biến thực phẩm mà không được kiểm tra vệ sinh thú y, kiểm dịch thực vật </w:t>
      </w:r>
      <w:proofErr w:type="gramStart"/>
      <w:r>
        <w:rPr>
          <w:sz w:val="28"/>
          <w:szCs w:val="28"/>
        </w:rPr>
        <w:t>theo</w:t>
      </w:r>
      <w:proofErr w:type="gramEnd"/>
      <w:r>
        <w:rPr>
          <w:sz w:val="28"/>
          <w:szCs w:val="28"/>
        </w:rPr>
        <w:t xml:space="preserve"> quy định của pháp luật.</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Biện pháp khắc phục hậu quả: Buộc tiêu hủy nguyên liệu, thực phẩm </w:t>
      </w:r>
      <w:proofErr w:type="gramStart"/>
      <w:r>
        <w:rPr>
          <w:sz w:val="28"/>
          <w:szCs w:val="28"/>
        </w:rPr>
        <w:t>vi</w:t>
      </w:r>
      <w:proofErr w:type="gramEnd"/>
      <w:r>
        <w:rPr>
          <w:sz w:val="28"/>
          <w:szCs w:val="28"/>
        </w:rPr>
        <w:t xml:space="preserve"> phạm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2. Phạt tiền từ 20.000.000 đồng đến 40.000.000 đồng đối với cá nhân, từ 40.000.000 đồng đến 80.000.000 đồng đối với tổ chức khi thực hiện hành vi sử dụng sản phẩm từ động vật, thực vật để sản xuất, chế biến thực phẩm mà có chỉ tiêu an toàn thực phẩm không phù hợp với quy định của quy chuẩn kỹ thuật tương ứng hoặc không phù hợp quy định pháp luật hoặc đã kiểm tra vệ sinh thú y, kiểm dịch thực vật nhưng không đạt yêu cầu.</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Biện pháp khắc phục hậu quả: Buộc tiêu hủy nguyên liệu, thực phẩm </w:t>
      </w:r>
      <w:proofErr w:type="gramStart"/>
      <w:r>
        <w:rPr>
          <w:sz w:val="28"/>
          <w:szCs w:val="28"/>
        </w:rPr>
        <w:t>vi</w:t>
      </w:r>
      <w:proofErr w:type="gramEnd"/>
      <w:r>
        <w:rPr>
          <w:sz w:val="28"/>
          <w:szCs w:val="28"/>
        </w:rPr>
        <w:t xml:space="preserve"> phạm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3. Phạt tiền từ 40.000.000 đồng đến 50.000.000 đồng đối với cá nhân, từ 40.000.000 đồng đến 50.000.000 đồng đối với khi thực hiện hành vi sử dụng động vật chết do bệnh, dịch bệnh hoặc động vật bị tiêu hủy theo quy định của pháp luật để chế biến thực phẩm hoặc cung cấp, bán thực phẩm có nguồn gốc từ động vật chết do bệnh, dịch bệnh hoặc động vật bị tiêu hủy mà sản phẩm trị giá dưới 10.000.000 đồng.</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lastRenderedPageBreak/>
        <w:t>- Hình thức xử phạt bổ sung: Đình chỉ một phần hoặc toàn bộ hoạt động sản xuất, chế biến thực phẩm từ 01 tháng đến 03 tháng</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 Biện pháp khắc phục hậu quả: Buộc tiêu hủy nguyên liệu, thực phẩm </w:t>
      </w:r>
      <w:proofErr w:type="gramStart"/>
      <w:r>
        <w:rPr>
          <w:sz w:val="28"/>
          <w:szCs w:val="28"/>
        </w:rPr>
        <w:t>vi</w:t>
      </w:r>
      <w:proofErr w:type="gramEnd"/>
      <w:r>
        <w:rPr>
          <w:sz w:val="28"/>
          <w:szCs w:val="28"/>
        </w:rPr>
        <w:t xml:space="preserve"> phạm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4. Phạt tiền từ 80.000.000 đồng đến 100.000.000 đồng đối với cá nhân,  từ 160.000.000 đống đến 200.000.000 đồng đối với tổ chức khi thực hiện một trong các hành vi sau đây:</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Sử dụng nguyên liệu là sản phẩm từ động vật, thực vật, chất, hóa chất không thuộc loại dùng làm thực phẩm để sản xuất, chế biến thực phẩm;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Sử dụng động vật chết do bệnh, dịch bệnh hoặc động vật bị tiêu hủy theo quy định của pháp luật để chế biến thực phẩm hoặc cung cấp, bán thực phẩm có nguồn gốc từ động vật chết do bệnh, dịch bệnh hoặc động vật bị tiêu hủy mà sản phẩm trị giá từ 10.000.000 đồng trở lên mà chưa đến mức truy cứu trách nhiệm hình sự.</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Hình thức xử phạt bổ sung: Đình chỉ một phần hoặc toàn bộ hoạt động sản xuất, chế biến thực phẩm từ 01 tháng đến 03 tháng; Tước quyền sử dụng Giấy tiếp nhận đăng ký bản công bố sản phẩm từ 20 tháng đến 24 tháng đối với sản phẩm thuộc diện đăng ký bản công bố sản phẩm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Biện pháp khắc phục hậu quả: Buộc tiêu hủy nguyên liệu, thực phẩm </w:t>
      </w:r>
      <w:proofErr w:type="gramStart"/>
      <w:r>
        <w:rPr>
          <w:sz w:val="28"/>
          <w:szCs w:val="28"/>
        </w:rPr>
        <w:t>vi</w:t>
      </w:r>
      <w:proofErr w:type="gramEnd"/>
      <w:r>
        <w:rPr>
          <w:sz w:val="28"/>
          <w:szCs w:val="28"/>
        </w:rPr>
        <w:t xml:space="preserve"> phạm; Buộc thu hồi bản tự công bố sản phẩm đối với sản phẩm thuộc diện tự công bố sản phẩm.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5. Phạt tiền từ 05 lần đến 07 lần giá trị sản phẩm vi phạm đối với tổ chức khi thực </w:t>
      </w:r>
      <w:proofErr w:type="gramStart"/>
      <w:r>
        <w:rPr>
          <w:sz w:val="28"/>
          <w:szCs w:val="28"/>
        </w:rPr>
        <w:t>hiện  hành</w:t>
      </w:r>
      <w:proofErr w:type="gramEnd"/>
      <w:r>
        <w:rPr>
          <w:sz w:val="28"/>
          <w:szCs w:val="28"/>
        </w:rPr>
        <w:t xml:space="preserve"> vi quy định tại khoản 4 nêu trên trong trường hợp áp dụng mức tiền phạt cao nhất của khung tiền phạt tương ứng mà vẫn còn thấp hơn 07 lần giá trị sản phẩm vi phạm mà chưa đến mức truy cứu trách nhiệm hình sự.</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Hình thức xử phạt bổ sung: Đình chỉ một phần hoặc toàn bộ hoạt động sản xuất, chế biến thực phẩm từ 10 tháng đến 12 tháng; Tước quyền sử dụng Giấy tiếp nhận đăng ký bản công bố sản phẩm từ 20 tháng đến 24 tháng đối với sản phẩm thuộc diện đăng ký bản công bố sản phẩm.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Biện pháp khắc phục hậu quả: Buộc tiêu hủy nguyên liệu, thực </w:t>
      </w:r>
      <w:proofErr w:type="gramStart"/>
      <w:r>
        <w:rPr>
          <w:sz w:val="28"/>
          <w:szCs w:val="28"/>
        </w:rPr>
        <w:t>phẩm ;</w:t>
      </w:r>
      <w:proofErr w:type="gramEnd"/>
      <w:r>
        <w:rPr>
          <w:sz w:val="28"/>
          <w:szCs w:val="28"/>
        </w:rPr>
        <w:t xml:space="preserve">  Buộc thu hồi bản tự công bố sản phẩm đối với sản phẩm thuộc diện tự công bố sản phẩm.</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Câu hỏi 2: Hành vi sử dụng phụ gia thực phẩm, chất hỗ trợ chế biến thực phẩm trong sản xuất, chế biến thực phẩm bị xử phạt như thế nào?</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Trả lời:  </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Theo Điều 5 - Nghị định số 115/2018/NĐ-CP ngày 04/9/2018 hành vi sử dụng phụ gia thực phẩm, chất hỗ trợ chế biến thực phẩm trong sản xuất, chế biến thực phẩm bị xử phạt như</w:t>
      </w:r>
      <w:r>
        <w:rPr>
          <w:rFonts w:ascii="Times New Roman" w:hAnsi="Times New Roman"/>
          <w:b/>
          <w:sz w:val="28"/>
          <w:szCs w:val="28"/>
          <w:lang w:val="vi-VN"/>
        </w:rPr>
        <w:t xml:space="preserve"> </w:t>
      </w:r>
      <w:r>
        <w:rPr>
          <w:rFonts w:ascii="Times New Roman" w:hAnsi="Times New Roman"/>
          <w:sz w:val="28"/>
          <w:szCs w:val="28"/>
          <w:lang w:val="vi-VN"/>
        </w:rPr>
        <w:t>sau:</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10.000.000 đồng đến 20.000.000 đồng đối với cá nhân, từ 20.000.000 đồng đến 40.000.000 đồng đối với tổ chức khi thực hiện hành vi sử dụng phụ gia thực phẩm, chất hỗ trợ chế biến thực phẩm thuộc danh mục được phép sử dụng theo quy định nhưng đã quá thời hạn sử dụng hoặc không có thời hạn sử dụng.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phụ gia thực phẩm, chất hỗ trợ chế biến thực phẩm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20.000.000 đồng đến 30.000.000 đồng đối với cá nhân, từ 40.000.000 đồng đến 60.000.000 đồng đối với tổ chức khi thực hiện một trong các hành vi sau đây:</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Sử dụng phụ gia thực phẩm, chất hỗ trợ chế biến thực phẩm không đáp ứng quy chuẩn kỹ thuật, quy định an toàn thực phẩm tương ứng, trừ hành vi vi phạm sử dụng phụ gia thực phẩm, chất hỗ trợ chế biến thực phẩm có chứa hoặc nhiễm một trong các kim loại nặng, chất độc hại vượt giới hạn cho phép; sử dụng phụ gia thực phẩm hoặc chất hỗ trợ chế biến thực phẩm cấm sử dụng hoặc ngoài danh mục được phép sử dụng trong sản xuất, chế biến thực phẩm mà sản phẩm trị giá từ 10.000.000 đồng trở lên mà chưa đến mức truy cứu trách nhiệm hình sự. </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phụ gia thực phẩm, chất hỗ trợ chế biến thực phẩm thuộc danh mục được phép sử dụng theo quy định nhưng không đúng đối tượng thực phẩm;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phụ gia thực phẩm, chất hỗ trợ chế biến thực phẩm thuộc danh mục được phép sử dụng theo quy định nhưng vượt quá mức sử dụng tối đa cho phép.</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phụ gia thực phẩm, chất hỗ trợ chế biến thực phẩm vi phạm.</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3. Phạt tiền từ 30.000.000 đồng đến 40.000.000 đồng đối với cá nhân, từ 60.000.000 đồng đến 80.000.000 đồng đối với tổ chức khi thực hiện hành vi sử dụng phụ gia thực phẩm, chất hỗ trợ chế biến thực phẩm không rõ nguồn gốc, xuất xứ.</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phụ gia thực phẩm, chất hỗ trợ chế biến thực phẩm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w:t>
      </w:r>
      <w:r>
        <w:rPr>
          <w:rFonts w:ascii="Times New Roman" w:hAnsi="Times New Roman"/>
          <w:b/>
          <w:sz w:val="28"/>
          <w:szCs w:val="28"/>
          <w:lang w:val="vi-VN"/>
        </w:rPr>
        <w:t xml:space="preserve"> </w:t>
      </w:r>
      <w:r>
        <w:rPr>
          <w:rFonts w:ascii="Times New Roman" w:hAnsi="Times New Roman"/>
          <w:sz w:val="28"/>
          <w:szCs w:val="28"/>
          <w:lang w:val="vi-VN"/>
        </w:rPr>
        <w:t xml:space="preserve">Phạt tiền từ 40.000.000 đồng đến 50.000.000 đồng đối với cá nhân, từ 40.000.000 đồng đến 100.000.000 đồng đối với tổ chức khi thực hiện hành vi sử dụng phụ gia thực phẩm hoặc chất hỗ trợ chế biến thực phẩm cấm sử dụng hoặc </w:t>
      </w:r>
      <w:r>
        <w:rPr>
          <w:rFonts w:ascii="Times New Roman" w:hAnsi="Times New Roman"/>
          <w:sz w:val="28"/>
          <w:szCs w:val="28"/>
          <w:lang w:val="vi-VN"/>
        </w:rPr>
        <w:lastRenderedPageBreak/>
        <w:t>ngoài danh mục được phép sử dụng trong sản xuất, chế biến thực phẩm mà sản phẩm trị giá dưới 10.000.000 đồng.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Đình chỉ một phần hoặc toàn bộ sản xuất, chế biến thực phẩm từ 01 đến 03 tháng.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phụ gia thực phẩm, chất hỗ trợ chế biến thực phẩm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5. Phạt tiền từ 80.000.000 đồng đến 100.000.000 đồng đối với cá nhân, từ 160.000.000 đồng đến 200.000.000 đồng đối với tổ chức khi một trong các hành vi sau đây:</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 Sử dụng phụ gia thực phẩm, chất hỗ trợ chế biến thực phẩm có chứa hoặc nhiễm một trong các kim loại nặng, chất độc hại vượt giới hạn cho phép</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phụ gia thực phẩm</w:t>
      </w:r>
      <w:r>
        <w:rPr>
          <w:rFonts w:ascii="Times New Roman" w:hAnsi="Times New Roman"/>
          <w:b/>
          <w:sz w:val="28"/>
          <w:szCs w:val="28"/>
          <w:lang w:val="vi-VN"/>
        </w:rPr>
        <w:t xml:space="preserve"> </w:t>
      </w:r>
      <w:r>
        <w:rPr>
          <w:rFonts w:ascii="Times New Roman" w:hAnsi="Times New Roman"/>
          <w:sz w:val="28"/>
          <w:szCs w:val="28"/>
          <w:lang w:val="vi-VN"/>
        </w:rPr>
        <w:t>hoặc chất hỗ trợ chế biến thực phẩm cấm sử dụng hoặc ngoài danh mục được phép sử dụng trong sản xuất, chế biến thực phẩm mà sản phẩm giá trị từ 10.000.000 đồng trở lên mà chưa đến mức truy cứu trách nhiệm hình sự.</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Hình thức xử phạt bổ sung: Đình chỉ một phần hoặc toàn bộ hoạt động sản xuất, chế biến thực phẩm từ 03 tháng đến 05 tháng; tước quyền sử dụng Giấy tiếp nhận đăng ký bản công bố sản phẩm từ 20 tháng đến 24 tháng đối với sản phẩm thuộc diện đăng ký bản công bố sản phẩm vi phạm. </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phụ gia thực phẩm, chất hỗ trợ chế biến thực phẩm vi phạm; buộc thu hồi bản tự công bố sản phẩm đối với sản phẩm thuộc diện tự công bố sản phẩm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6.</w:t>
      </w:r>
      <w:r>
        <w:rPr>
          <w:rFonts w:ascii="Times New Roman" w:hAnsi="Times New Roman"/>
          <w:b/>
          <w:sz w:val="28"/>
          <w:szCs w:val="28"/>
          <w:lang w:val="vi-VN"/>
        </w:rPr>
        <w:t xml:space="preserve"> </w:t>
      </w:r>
      <w:r>
        <w:rPr>
          <w:rFonts w:ascii="Times New Roman" w:hAnsi="Times New Roman"/>
          <w:sz w:val="28"/>
          <w:szCs w:val="28"/>
          <w:lang w:val="vi-VN"/>
        </w:rPr>
        <w:t xml:space="preserve">Phạt tiền từ 05 đến </w:t>
      </w:r>
      <w:r>
        <w:rPr>
          <w:rFonts w:ascii="Times New Roman" w:hAnsi="Times New Roman"/>
          <w:sz w:val="28"/>
          <w:szCs w:val="28"/>
        </w:rPr>
        <w:t>0</w:t>
      </w:r>
      <w:r>
        <w:rPr>
          <w:rFonts w:ascii="Times New Roman" w:hAnsi="Times New Roman"/>
          <w:sz w:val="28"/>
          <w:szCs w:val="28"/>
          <w:lang w:val="vi-VN"/>
        </w:rPr>
        <w:t>7 lần giá trị sản phẩm vi phạm đối với tổ chức thực hiện hành vi sử dụng phụ gia thực phẩm</w:t>
      </w:r>
      <w:r>
        <w:rPr>
          <w:rFonts w:ascii="Times New Roman" w:hAnsi="Times New Roman"/>
          <w:b/>
          <w:sz w:val="28"/>
          <w:szCs w:val="28"/>
          <w:lang w:val="vi-VN"/>
        </w:rPr>
        <w:t xml:space="preserve"> </w:t>
      </w:r>
      <w:r>
        <w:rPr>
          <w:rFonts w:ascii="Times New Roman" w:hAnsi="Times New Roman"/>
          <w:sz w:val="28"/>
          <w:szCs w:val="28"/>
          <w:lang w:val="vi-VN"/>
        </w:rPr>
        <w:t>hoặc chất hỗ trợ chế biến thực phẩm cấm sử dụng hoặc ngoài danh mục được phép sử dụng trong sản xuất, chế biến thực phẩm. Trong trường hợp áp dụng mức phạt tiền cao nhất của khung hình phạt tương ứng mà vẫn còn thấp hơn 07 lần giá trị sản phẩm mà chưa đến mức truy cứu trách nhiệm hình sự.</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Hình thức xử phạt bổ sung: Đình chỉ một phần hoặc toàn bộ hoạt động sản xuất, chế biến thực phẩm từ 10 tháng đến 12 tháng; tước quyền sử dụng Giấy tiếp nhận đăng ký bản công bố sản phẩm từ 20 tháng đến 24 tháng đối với sản phẩm thuộc diện đăng ký bản công bố sản phẩm vi phạm. </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phụ gia thực phẩm, chất hỗ trợ chế biến thực phẩm vi phạm; buộc thu hồi bản tự công bố sản phẩm đối với sản phẩm thuộc diện tự công bố sản phẩm vi phạm.</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lastRenderedPageBreak/>
        <w:t xml:space="preserve">Câu hỏi 3: Hành vi sử dụng chất, hóa chất, kháng sinh, thuốc thú y, thuốc bảo vệ thực vật trong sản xuất, chế biến thực phẩm bị xử phạt như thế nào? </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Trả lời: </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Theo Điều 6 - Nghị định số 115/2018/NĐ-CP ngày 04/9/2018 thì hành vi sử dụng chất, hóa chất, kháng sinh, thuốc thú y, thuốc bảo vệ thực vật trong sản xuất, chế biến thực phẩm bị xử phạt như</w:t>
      </w:r>
      <w:r>
        <w:rPr>
          <w:rFonts w:ascii="Times New Roman" w:hAnsi="Times New Roman"/>
          <w:b/>
          <w:sz w:val="28"/>
          <w:szCs w:val="28"/>
          <w:lang w:val="vi-VN"/>
        </w:rPr>
        <w:t xml:space="preserve"> </w:t>
      </w:r>
      <w:r>
        <w:rPr>
          <w:rFonts w:ascii="Times New Roman" w:hAnsi="Times New Roman"/>
          <w:sz w:val="28"/>
          <w:szCs w:val="28"/>
          <w:lang w:val="vi-VN"/>
        </w:rPr>
        <w:t>sau:</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10.000.000 đồng đến 20.000.000 đồng đối với cá nhân, từ 20.000.000 đồng đến 40.000.000 đồng đối với tổ chức khi thực hiện hành vi sử dụng chất, hóa chất vượt quá thời  hạn sử dụng hoặc không có thời hạn sử dụng.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chất, hóa chất, kháng sinh, thuốc thú y, thuốc bảo vệ thực vật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30.000.000 đồng đến 40.000.000 đồng đối với cá nhân, từ 60.000.000 đồng đến 80.000.000 đồng đối với tổ chức khi thực hiện hành vi sử dụng chất, hóa chất vượt quá giới hạn cho phép hoặc không đáp ứng quy chuẩn kỹ thuật, quy định an toàn thực phẩm tương ứng.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chất, hóa chất, kháng sinh, thuốc thú y, thuốc bảo vệ thực vật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3.</w:t>
      </w:r>
      <w:r>
        <w:rPr>
          <w:rFonts w:ascii="Times New Roman" w:hAnsi="Times New Roman"/>
          <w:b/>
          <w:sz w:val="28"/>
          <w:szCs w:val="28"/>
          <w:lang w:val="vi-VN"/>
        </w:rPr>
        <w:t xml:space="preserve"> </w:t>
      </w:r>
      <w:r>
        <w:rPr>
          <w:rFonts w:ascii="Times New Roman" w:hAnsi="Times New Roman"/>
          <w:sz w:val="28"/>
          <w:szCs w:val="28"/>
          <w:lang w:val="vi-VN"/>
        </w:rPr>
        <w:t>Phạt tiền từ 40.000.000 đồng đến 50.000.000 đồng đối với cá nhân, từ 80.000.000 đồng đến 100.000.000 đồng đối với tổ chức khi thực hiện một trong các hành vi sau:</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chất, hóa chất, kháng sinh, thuốc thú y, thuốc bảo vệ thực vật cấm sử dụng hoặc ngoài danh mục được phép sử dụng trong sản xuất, chế biến thực phẩm mà sản phẩm trị giá dưới 10.000.000 đồng;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chất, hóa chất, kháng sinh, thuốc thú y, thuốc bảo vệ thực vật chưa được phép sử dụng hoặc chưa được phép lưu hành tại Việt Nam trong sản xuất thực phẩm mà sản phẩm trị giá dưới 50.000.000 đồng.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Hình thức xử phạt bổ sung: Đình chỉ một phần hoặc toàn bộ hoạt động sản xuất, chế biến thực phẩm từ 01 tháng đến 03 tháng đối với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chất, hóa chất, kháng sinh, thuốc thú y, thuốc bảo vệ thực vật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 Phạt tiền từ 80.000.000 đồng đến 100.000.000 đồng đối với cá nhân, từ 160.000.000 đồng đến 200.000.000 đồng đối với tổ chức khi thực hiện một trong các hành vi sau đây:</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Sử dụng chất, hóa chất, kháng sinh, thuốc thú y, thuốc bảo vệ thực vật cấm sử dụng hoặc ngoài danh mục được phép sử dụng trong sản xuất, chế biến thực </w:t>
      </w:r>
      <w:r>
        <w:rPr>
          <w:rFonts w:ascii="Times New Roman" w:hAnsi="Times New Roman"/>
          <w:sz w:val="28"/>
          <w:szCs w:val="28"/>
          <w:lang w:val="vi-VN"/>
        </w:rPr>
        <w:lastRenderedPageBreak/>
        <w:t>phẩm mà sản phẩm trị giá từ 10.000.000 đồng trở lên mà chưa đến mức truy cứu trách nhiệm hình sự;</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chất, hóa chất, kháng sinh, thuốc thú y, thuốc bảo vệ thực vật chưa được phép sử dụng hoặc chưa được phép lưu hành tại Việt Nam trong sản xuất thực phẩm mà sản phẩm trị giá từ 50.000.000 đồng trở lên mà chưa đến mức truy cứu trách nhiệm hình sự.</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Đình chỉ một phần hoặc toàn bộ hoạt động sản xuất, chế biến thực phẩm từ 03 tháng đến 05 tháng đối với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chất, hóa chất, kháng sinh, thuốc thú y, thuốc bảo vệ thực vật vi phạm; buộc thu hồi bản tự công bố sản phẩm đối với sản phẩm thuộc diện tự công bố sản phẩm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5. Phạt tiền từ 05 lần đến 07 lần giá trị sản phẩm vi phạm đối với tổ chức thực hiện hành vi sử dụng chất, hóa chất, kháng sinh, thuốc thú y, thuốc bảo vệ thực vật cấm sử dụng hoặc ngoài danh mục được phép sử dụng trong sản xuất, chế biến thực phẩm mà sản phẩm trị giá từ 10.000.000 đồng trở lên mà chưa đến mức truy cứu trách nhiệm hình sự</w:t>
      </w:r>
      <w:r>
        <w:rPr>
          <w:rFonts w:ascii="Times New Roman" w:hAnsi="Times New Roman"/>
          <w:sz w:val="28"/>
          <w:szCs w:val="28"/>
        </w:rPr>
        <w:t xml:space="preserve">  hoặc </w:t>
      </w:r>
      <w:r>
        <w:rPr>
          <w:rFonts w:ascii="Times New Roman" w:hAnsi="Times New Roman"/>
          <w:sz w:val="28"/>
          <w:szCs w:val="28"/>
          <w:lang w:val="vi-VN"/>
        </w:rPr>
        <w:t>sử dụng chất, hóa chất, kháng sinh, thuốc thú y, thuốc bảo vệ thực vật chưa được phép sử dụng hoặc chưa được phép lưu hành tại Việt Nam trong sản xuất thực phẩm mà sản phẩm trị giá từ 50.000.000 đồng trở lên mà chưa đến mức truy cứu trách nhiệm hình sự trong trường hợp áp dụng mức tiền phạt cao nhất của khung tiền phạt tương ứng mà vẫn còn thấp hơn 07 lần giá trị sản phẩm vi phạm mà chưa đến mức truy cứu trách nhiệm hình sự.</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4: Hành vi </w:t>
      </w:r>
      <w:r>
        <w:rPr>
          <w:rFonts w:ascii="Times New Roman" w:hAnsi="Times New Roman"/>
          <w:b/>
          <w:bCs/>
          <w:sz w:val="28"/>
          <w:szCs w:val="28"/>
          <w:lang w:val="vi-VN"/>
        </w:rPr>
        <w:t>vi phạm quy định về tăng cường vi chất dinh dưỡng vào thực phẩm</w:t>
      </w:r>
      <w:r>
        <w:rPr>
          <w:rFonts w:ascii="Times New Roman" w:hAnsi="Times New Roman"/>
          <w:b/>
          <w:sz w:val="28"/>
          <w:szCs w:val="28"/>
          <w:lang w:val="vi-VN"/>
        </w:rPr>
        <w:t xml:space="preserve"> bị xử phạt như thế nào? </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Trả lời: </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Theo Điều 7 - Nghị định số 115/2018/NĐ-CP ngày 04/9/2018 thì hành vi </w:t>
      </w:r>
      <w:r>
        <w:rPr>
          <w:rFonts w:ascii="Times New Roman" w:hAnsi="Times New Roman"/>
          <w:bCs/>
          <w:sz w:val="28"/>
          <w:szCs w:val="28"/>
          <w:lang w:val="vi-VN"/>
        </w:rPr>
        <w:t>vi phạm quy định về tăng cường vi chất dinh dưỡng vào thực phẩm</w:t>
      </w:r>
      <w:r>
        <w:rPr>
          <w:rFonts w:ascii="Times New Roman" w:hAnsi="Times New Roman"/>
          <w:sz w:val="28"/>
          <w:szCs w:val="28"/>
          <w:lang w:val="vi-VN"/>
        </w:rPr>
        <w:t xml:space="preserve"> bị xử phạt như sau:</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Phạt tiền từ 5.000.000 đồng đến 10.000.000 đồng đối với cá nhân, từ 10.000.000 đồng đến 20.000.000 đồng đối với tổ chức khi thực hiện hành vi không thực hiện tăng cường vi chất dinh dưỡng là vitamin, khoáng chất, chất vi lượng thuộc danh mục bắt buộc phải tăng cường vi chất dinh dưỡng vào thực phẩm theo quy định của pháp luật.</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Biện pháp khắc phục hậu quả: buộc thay đổi mục đích sử dụng hoặc tái chế thực phẩm; hoặc buộc tiêu hủy thực phẩm. </w:t>
      </w:r>
    </w:p>
    <w:p w:rsidR="00B93631" w:rsidRDefault="00B93631">
      <w:bookmarkStart w:id="0" w:name="_GoBack"/>
      <w:bookmarkEnd w:id="0"/>
    </w:p>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1B"/>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8F441B"/>
    <w:rsid w:val="0091466E"/>
    <w:rsid w:val="00995E4B"/>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41B"/>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441B"/>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41B"/>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441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282B0-467E-4C0B-93F2-59B7B2241076}"/>
</file>

<file path=customXml/itemProps2.xml><?xml version="1.0" encoding="utf-8"?>
<ds:datastoreItem xmlns:ds="http://schemas.openxmlformats.org/officeDocument/2006/customXml" ds:itemID="{47ECE0E5-670C-441E-AA84-BF33DDE82971}"/>
</file>

<file path=customXml/itemProps3.xml><?xml version="1.0" encoding="utf-8"?>
<ds:datastoreItem xmlns:ds="http://schemas.openxmlformats.org/officeDocument/2006/customXml" ds:itemID="{912A2B23-73DA-4EC1-A8E4-924C8E04A77D}"/>
</file>

<file path=docProps/app.xml><?xml version="1.0" encoding="utf-8"?>
<Properties xmlns="http://schemas.openxmlformats.org/officeDocument/2006/extended-properties" xmlns:vt="http://schemas.openxmlformats.org/officeDocument/2006/docPropsVTypes">
  <Template>Normal</Template>
  <TotalTime>1</TotalTime>
  <Pages>6</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2023-06-24T08:50:00Z</dcterms:created>
  <dcterms:modified xsi:type="dcterms:W3CDTF">2023-06-24T08:51:00Z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69900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